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7F" w:rsidRDefault="000A6CE8" w:rsidP="00772373">
      <w:pPr>
        <w:pStyle w:val="Overskrift1"/>
      </w:pPr>
      <w:proofErr w:type="spellStart"/>
      <w:r>
        <w:t>NetLogo</w:t>
      </w:r>
      <w:proofErr w:type="spellEnd"/>
    </w:p>
    <w:p w:rsidR="00671607" w:rsidRDefault="003D5A93" w:rsidP="003D5A93">
      <w:pPr>
        <w:pStyle w:val="Overskrift2"/>
      </w:pPr>
      <w:r>
        <w:t xml:space="preserve">Installation </w:t>
      </w:r>
    </w:p>
    <w:p w:rsidR="007F0C6C" w:rsidRDefault="007F0C6C" w:rsidP="007F0C6C">
      <w:proofErr w:type="spellStart"/>
      <w:r>
        <w:t>NetLogo</w:t>
      </w:r>
      <w:proofErr w:type="spellEnd"/>
      <w:r>
        <w:t xml:space="preserve"> downloades her</w:t>
      </w:r>
      <w:r>
        <w:t xml:space="preserve">: </w:t>
      </w:r>
      <w:hyperlink r:id="rId6" w:history="1">
        <w:r w:rsidRPr="0010327A">
          <w:rPr>
            <w:rStyle w:val="Hyperlink"/>
          </w:rPr>
          <w:t>https://ccl.northwestern.edu/netlogo/index.shtml</w:t>
        </w:r>
      </w:hyperlink>
      <w:r>
        <w:t xml:space="preserve"> </w:t>
      </w:r>
    </w:p>
    <w:p w:rsidR="003D5A93" w:rsidRDefault="007F0C6C" w:rsidP="0047167F">
      <w:r>
        <w:t>Installation sker blot ved at eksekvere download</w:t>
      </w:r>
      <w:r w:rsidR="00715A1F">
        <w:t>et fil</w:t>
      </w:r>
      <w:r>
        <w:t xml:space="preserve">. </w:t>
      </w:r>
    </w:p>
    <w:p w:rsidR="007F0C6C" w:rsidRDefault="007F0C6C" w:rsidP="0047167F"/>
    <w:p w:rsidR="007F0C6C" w:rsidRDefault="00103AA5" w:rsidP="00103AA5">
      <w:pPr>
        <w:pStyle w:val="Overskrift2"/>
      </w:pPr>
      <w:r>
        <w:t xml:space="preserve">Introduktion </w:t>
      </w:r>
    </w:p>
    <w:p w:rsidR="00103AA5" w:rsidRDefault="00103AA5" w:rsidP="0047167F">
      <w:proofErr w:type="spellStart"/>
      <w:r>
        <w:t>NetLogo</w:t>
      </w:r>
      <w:proofErr w:type="spellEnd"/>
      <w:r>
        <w:t xml:space="preserve"> er et system til agent-baseret simulering af ”fænomener”. </w:t>
      </w:r>
      <w:r w:rsidR="00441EC3">
        <w:t xml:space="preserve">Hver simulering gemmes i </w:t>
      </w:r>
      <w:proofErr w:type="gramStart"/>
      <w:r w:rsidR="00441EC3">
        <w:t>en .</w:t>
      </w:r>
      <w:proofErr w:type="spellStart"/>
      <w:r w:rsidR="00441EC3">
        <w:t>nlogo</w:t>
      </w:r>
      <w:proofErr w:type="spellEnd"/>
      <w:proofErr w:type="gramEnd"/>
      <w:r w:rsidR="00441EC3">
        <w:t xml:space="preserve"> fil. </w:t>
      </w:r>
      <w:r w:rsidR="006654E4">
        <w:t xml:space="preserve">Efter programmet er startes vælges File, Open, og </w:t>
      </w:r>
      <w:proofErr w:type="gramStart"/>
      <w:r w:rsidR="006654E4">
        <w:t>en .</w:t>
      </w:r>
      <w:proofErr w:type="spellStart"/>
      <w:r w:rsidR="006654E4">
        <w:t>nlogo</w:t>
      </w:r>
      <w:proofErr w:type="spellEnd"/>
      <w:proofErr w:type="gramEnd"/>
      <w:r w:rsidR="006654E4">
        <w:t xml:space="preserve"> fil kan åbnes. </w:t>
      </w:r>
    </w:p>
    <w:p w:rsidR="00103AA5" w:rsidRDefault="00103AA5" w:rsidP="0047167F">
      <w:r>
        <w:t xml:space="preserve">På forsiden er der 3 tab-menuer: Interface, Info og Code. </w:t>
      </w:r>
    </w:p>
    <w:p w:rsidR="00103AA5" w:rsidRDefault="00103AA5" w:rsidP="0047167F">
      <w:r>
        <w:t xml:space="preserve">Info indeholder, hvis forfatteren husker det, en vejledning til anvendelsen af </w:t>
      </w:r>
      <w:r w:rsidR="000E69F1">
        <w:t xml:space="preserve">den </w:t>
      </w:r>
      <w:proofErr w:type="gramStart"/>
      <w:r w:rsidR="000E69F1">
        <w:t xml:space="preserve">aktuelle </w:t>
      </w:r>
      <w:r>
        <w:t>.</w:t>
      </w:r>
      <w:proofErr w:type="spellStart"/>
      <w:r>
        <w:t>nlogo</w:t>
      </w:r>
      <w:proofErr w:type="spellEnd"/>
      <w:proofErr w:type="gramEnd"/>
      <w:r>
        <w:t xml:space="preserve"> fil. </w:t>
      </w:r>
    </w:p>
    <w:p w:rsidR="00103AA5" w:rsidRDefault="00103AA5" w:rsidP="0047167F">
      <w:r>
        <w:t xml:space="preserve">Interface er brugerinterfacet, hvor brugeren kan se grafer, se ”verden” hvor </w:t>
      </w:r>
      <w:proofErr w:type="spellStart"/>
      <w:r>
        <w:t>turtles</w:t>
      </w:r>
      <w:proofErr w:type="spellEnd"/>
      <w:r>
        <w:t xml:space="preserve"> bevæger sig (default er sort baggrund), og hvor plot, knapper, slider med mere kan være placeret. </w:t>
      </w:r>
    </w:p>
    <w:p w:rsidR="00103AA5" w:rsidRDefault="00103AA5" w:rsidP="0047167F">
      <w:r>
        <w:t xml:space="preserve">Code er hvor koden bag simuleringen findes. </w:t>
      </w:r>
    </w:p>
    <w:p w:rsidR="00103AA5" w:rsidRDefault="00103AA5" w:rsidP="0047167F"/>
    <w:p w:rsidR="00817B1E" w:rsidRDefault="00817B1E" w:rsidP="0047167F">
      <w:r>
        <w:t xml:space="preserve">… fortsættes … </w:t>
      </w:r>
    </w:p>
    <w:p w:rsidR="00817B1E" w:rsidRDefault="00817B1E" w:rsidP="0047167F"/>
    <w:p w:rsidR="00817B1E" w:rsidRDefault="00817B1E">
      <w:pPr>
        <w:rPr>
          <w:spacing w:val="15"/>
        </w:rPr>
      </w:pPr>
      <w:r>
        <w:br w:type="page"/>
      </w:r>
    </w:p>
    <w:p w:rsidR="00103AA5" w:rsidRDefault="00103AA5" w:rsidP="00103AA5">
      <w:pPr>
        <w:pStyle w:val="Overskrift2"/>
      </w:pPr>
      <w:r>
        <w:lastRenderedPageBreak/>
        <w:t xml:space="preserve">Interface </w:t>
      </w:r>
    </w:p>
    <w:p w:rsidR="00A05B73" w:rsidRDefault="00A05B73" w:rsidP="00A05B73">
      <w:r>
        <w:t>Ofte skal man trykke på ”Setup” og derefter ”Go” eller ”Go-</w:t>
      </w:r>
      <w:proofErr w:type="spellStart"/>
      <w:r>
        <w:t>once</w:t>
      </w:r>
      <w:proofErr w:type="spellEnd"/>
      <w:r>
        <w:t xml:space="preserve">”. </w:t>
      </w:r>
    </w:p>
    <w:p w:rsidR="00A05B73" w:rsidRDefault="00A05B73" w:rsidP="00A05B73">
      <w:r>
        <w:t>Hvis en knap har look ikon i nederste højre hjørne</w:t>
      </w:r>
      <w:r w:rsidR="00817B1E">
        <w:t xml:space="preserve"> </w:t>
      </w:r>
      <w:r w:rsidR="00817B1E" w:rsidRPr="00817B1E">
        <w:drawing>
          <wp:inline distT="0" distB="0" distL="0" distR="0" wp14:anchorId="025BFDAD" wp14:editId="3CCCB0D7">
            <wp:extent cx="198137" cy="190517"/>
            <wp:effectExtent l="0" t="0" r="0" b="0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137" cy="190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er det fordi den gentages per ”tick”, taktslag. </w:t>
      </w:r>
    </w:p>
    <w:p w:rsidR="00A05B73" w:rsidRPr="00A05B73" w:rsidRDefault="00D7157F" w:rsidP="00A05B73">
      <w:r>
        <w:t xml:space="preserve">Eksempel på interface er vist herunder: </w:t>
      </w:r>
    </w:p>
    <w:p w:rsidR="00103AA5" w:rsidRDefault="00A05B73" w:rsidP="0047167F">
      <w:r w:rsidRPr="00A05B73">
        <w:drawing>
          <wp:inline distT="0" distB="0" distL="0" distR="0" wp14:anchorId="524884EC" wp14:editId="194E3DAD">
            <wp:extent cx="6645910" cy="5761355"/>
            <wp:effectExtent l="0" t="0" r="254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76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B73" w:rsidRDefault="00A05B73" w:rsidP="0047167F"/>
    <w:p w:rsidR="00A05B73" w:rsidRDefault="00A05B73" w:rsidP="0047167F"/>
    <w:p w:rsidR="007F0C6C" w:rsidRDefault="007F0C6C" w:rsidP="0047167F"/>
    <w:p w:rsidR="007F0C6C" w:rsidRDefault="00817B1E" w:rsidP="00817B1E">
      <w:pPr>
        <w:pStyle w:val="Overskrift2"/>
      </w:pPr>
      <w:r>
        <w:lastRenderedPageBreak/>
        <w:t xml:space="preserve">Code </w:t>
      </w:r>
    </w:p>
    <w:p w:rsidR="00735B3C" w:rsidRDefault="00735B3C" w:rsidP="00735B3C">
      <w:pPr>
        <w:pStyle w:val="Overskrift3"/>
      </w:pPr>
      <w:r>
        <w:t xml:space="preserve">Globals </w:t>
      </w:r>
    </w:p>
    <w:p w:rsidR="00817B1E" w:rsidRDefault="00735B3C" w:rsidP="0047167F">
      <w:r>
        <w:t xml:space="preserve">En sektion med globals indeholder globale variable: </w:t>
      </w:r>
    </w:p>
    <w:p w:rsidR="00735B3C" w:rsidRDefault="00735B3C" w:rsidP="0047167F">
      <w:r w:rsidRPr="00735B3C">
        <w:drawing>
          <wp:inline distT="0" distB="0" distL="0" distR="0" wp14:anchorId="50A0D26A" wp14:editId="72145B3B">
            <wp:extent cx="1607959" cy="480102"/>
            <wp:effectExtent l="0" t="0" r="0" b="0"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7959" cy="480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B3C" w:rsidRDefault="00735B3C" w:rsidP="0047167F">
      <w:r>
        <w:t xml:space="preserve">Det vil sige variable som kan ”ses” overalt. </w:t>
      </w:r>
    </w:p>
    <w:p w:rsidR="00735B3C" w:rsidRDefault="00735B3C" w:rsidP="0047167F"/>
    <w:p w:rsidR="00735B3C" w:rsidRDefault="00735B3C" w:rsidP="00735B3C">
      <w:pPr>
        <w:pStyle w:val="Overskrift3"/>
      </w:pPr>
      <w:r>
        <w:t xml:space="preserve">Procedurer </w:t>
      </w:r>
    </w:p>
    <w:p w:rsidR="00735B3C" w:rsidRDefault="00735B3C" w:rsidP="0047167F">
      <w:r>
        <w:t xml:space="preserve">En procedurer består af ”to” efterfulgt af navn, dernæst en række instrukser, og til slut et ”end”. </w:t>
      </w:r>
    </w:p>
    <w:p w:rsidR="00735B3C" w:rsidRDefault="00735B3C" w:rsidP="0047167F">
      <w:r w:rsidRPr="00735B3C">
        <w:drawing>
          <wp:inline distT="0" distB="0" distL="0" distR="0" wp14:anchorId="5DCA4B08" wp14:editId="104DAA8D">
            <wp:extent cx="2171888" cy="944962"/>
            <wp:effectExtent l="0" t="0" r="0" b="7620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1888" cy="944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B3C" w:rsidRDefault="00735B3C" w:rsidP="0047167F">
      <w:r>
        <w:t xml:space="preserve">Når koden har defineret en procedure kan den kaldes (aktiveres) fra andre procedurer ved blot at skrive navnet. </w:t>
      </w:r>
    </w:p>
    <w:p w:rsidR="00735B3C" w:rsidRDefault="00735B3C" w:rsidP="0047167F">
      <w:r w:rsidRPr="00735B3C">
        <w:drawing>
          <wp:inline distT="0" distB="0" distL="0" distR="0" wp14:anchorId="56321564" wp14:editId="3B8E8C49">
            <wp:extent cx="3932261" cy="1386960"/>
            <wp:effectExtent l="0" t="0" r="0" b="3810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32261" cy="138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B3C" w:rsidRDefault="00735B3C" w:rsidP="0047167F"/>
    <w:p w:rsidR="00A86153" w:rsidRDefault="00A86153" w:rsidP="0047167F"/>
    <w:p w:rsidR="00A86153" w:rsidRDefault="00A86153">
      <w:pPr>
        <w:rPr>
          <w:color w:val="1F4D78" w:themeColor="accent1" w:themeShade="7F"/>
          <w:spacing w:val="15"/>
        </w:rPr>
      </w:pPr>
      <w:r>
        <w:br w:type="page"/>
      </w:r>
    </w:p>
    <w:p w:rsidR="00735B3C" w:rsidRDefault="00DB5D03" w:rsidP="00DB5D03">
      <w:pPr>
        <w:pStyle w:val="Overskrift3"/>
      </w:pPr>
      <w:r>
        <w:lastRenderedPageBreak/>
        <w:t xml:space="preserve">Variable </w:t>
      </w:r>
    </w:p>
    <w:p w:rsidR="00DB5D03" w:rsidRDefault="00DB5D03" w:rsidP="00DB5D03">
      <w:r>
        <w:t xml:space="preserve">Globale variable - se anden sektion. </w:t>
      </w:r>
    </w:p>
    <w:p w:rsidR="00DB5D03" w:rsidRDefault="00DB5D03" w:rsidP="00DB5D03">
      <w:r>
        <w:t xml:space="preserve">Lokale variable defineres med ”let” </w:t>
      </w:r>
      <w:r w:rsidR="00A86153">
        <w:t xml:space="preserve">efterfulgt af navn og dernæst værdi. </w:t>
      </w:r>
    </w:p>
    <w:p w:rsidR="00A86153" w:rsidRDefault="00A86153" w:rsidP="00DB5D03">
      <w:r w:rsidRPr="00A86153">
        <w:t xml:space="preserve">let </w:t>
      </w:r>
      <w:proofErr w:type="spellStart"/>
      <w:r w:rsidRPr="00A86153">
        <w:t>temp</w:t>
      </w:r>
      <w:proofErr w:type="spellEnd"/>
      <w:r w:rsidRPr="00A86153">
        <w:t xml:space="preserve"> [</w:t>
      </w:r>
      <w:proofErr w:type="spellStart"/>
      <w:r w:rsidRPr="00A86153">
        <w:t>color</w:t>
      </w:r>
      <w:proofErr w:type="spellEnd"/>
      <w:r w:rsidRPr="00A86153">
        <w:t>] of turtle1</w:t>
      </w:r>
    </w:p>
    <w:p w:rsidR="00A86153" w:rsidRDefault="00A86153" w:rsidP="00DB5D03">
      <w:r>
        <w:t xml:space="preserve">Lokale variable kan kun ”ses” i den procedure de er defineret. </w:t>
      </w:r>
    </w:p>
    <w:p w:rsidR="00A86153" w:rsidRDefault="00A86153" w:rsidP="00DB5D03"/>
    <w:p w:rsidR="001534CA" w:rsidRDefault="001534CA" w:rsidP="00DB5D03">
      <w:r>
        <w:t xml:space="preserve">Man gemmer værdier ned i variable (lokale eller globale) med ”set”, efterfulgt af variabel-navn og dernæst værdi, f.eks.: </w:t>
      </w:r>
    </w:p>
    <w:p w:rsidR="001534CA" w:rsidRDefault="001E1286" w:rsidP="00DB5D03">
      <w:r w:rsidRPr="001E1286">
        <w:drawing>
          <wp:inline distT="0" distB="0" distL="0" distR="0" wp14:anchorId="6F153F22" wp14:editId="04BBF346">
            <wp:extent cx="2347163" cy="670618"/>
            <wp:effectExtent l="0" t="0" r="0" b="0"/>
            <wp:docPr id="6" name="Bille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47163" cy="67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286" w:rsidRDefault="001E1286" w:rsidP="00DB5D03"/>
    <w:p w:rsidR="001E1286" w:rsidRDefault="005F6EED" w:rsidP="005F6EED">
      <w:pPr>
        <w:pStyle w:val="Overskrift2"/>
      </w:pPr>
      <w:r>
        <w:t xml:space="preserve">Farver </w:t>
      </w:r>
    </w:p>
    <w:p w:rsidR="005F6EED" w:rsidRDefault="005F6EED" w:rsidP="005F6EED">
      <w:r>
        <w:t xml:space="preserve">I </w:t>
      </w:r>
      <w:proofErr w:type="spellStart"/>
      <w:r>
        <w:t>NetLogo</w:t>
      </w:r>
      <w:proofErr w:type="spellEnd"/>
      <w:r>
        <w:t xml:space="preserve"> styres farver med talværdier. </w:t>
      </w:r>
    </w:p>
    <w:p w:rsidR="005F6EED" w:rsidRDefault="005F6EED" w:rsidP="005F6EED">
      <w:r>
        <w:t xml:space="preserve">Der er en række grundfarver, se søjlen til højre: </w:t>
      </w:r>
    </w:p>
    <w:p w:rsidR="005F6EED" w:rsidRDefault="005F6EED" w:rsidP="005F6EED">
      <w:r w:rsidRPr="005F6EED">
        <w:drawing>
          <wp:inline distT="0" distB="0" distL="0" distR="0" wp14:anchorId="518304C1" wp14:editId="65A43253">
            <wp:extent cx="5342083" cy="3436918"/>
            <wp:effectExtent l="0" t="0" r="0" b="0"/>
            <wp:docPr id="7" name="Bille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42083" cy="3436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EED" w:rsidRDefault="005F6EED" w:rsidP="005F6EED">
      <w:r>
        <w:lastRenderedPageBreak/>
        <w:t xml:space="preserve">Og en masse nuancer af farver ved at vælge mellemliggende værdier. </w:t>
      </w:r>
    </w:p>
    <w:p w:rsidR="005F6EED" w:rsidRPr="005F6EED" w:rsidRDefault="005F6EED" w:rsidP="005F6EED"/>
    <w:p w:rsidR="001534CA" w:rsidRDefault="007F0F89" w:rsidP="007F0F89">
      <w:pPr>
        <w:pStyle w:val="Overskrift2"/>
      </w:pPr>
      <w:r>
        <w:t xml:space="preserve">Plot </w:t>
      </w:r>
    </w:p>
    <w:p w:rsidR="007F0F89" w:rsidRDefault="007F0F89" w:rsidP="007F0F89">
      <w:r>
        <w:t xml:space="preserve">Plot kan bruges til at tegne xy plot eller antal </w:t>
      </w:r>
      <w:proofErr w:type="spellStart"/>
      <w:r>
        <w:t>turtles</w:t>
      </w:r>
      <w:proofErr w:type="spellEnd"/>
      <w:r>
        <w:t xml:space="preserve"> eller … </w:t>
      </w:r>
    </w:p>
    <w:p w:rsidR="007F0F89" w:rsidRDefault="007F0F89" w:rsidP="007F0F89">
      <w:r>
        <w:t xml:space="preserve">Her vises eksempel på plot af x-akse i plot. </w:t>
      </w:r>
    </w:p>
    <w:p w:rsidR="007F0F89" w:rsidRDefault="007F0F89" w:rsidP="007F0F89">
      <w:r w:rsidRPr="007F0F89">
        <w:drawing>
          <wp:inline distT="0" distB="0" distL="0" distR="0" wp14:anchorId="65D86F00" wp14:editId="69D48B88">
            <wp:extent cx="3132091" cy="1265030"/>
            <wp:effectExtent l="0" t="0" r="0" b="0"/>
            <wp:docPr id="8" name="Billed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32091" cy="126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F89" w:rsidRDefault="007F0F89" w:rsidP="007F0F89">
      <w:r>
        <w:t xml:space="preserve">Koden ovenfor forudsætter at </w:t>
      </w:r>
      <w:proofErr w:type="spellStart"/>
      <w:r>
        <w:t>xaksemin</w:t>
      </w:r>
      <w:proofErr w:type="spellEnd"/>
      <w:r>
        <w:t xml:space="preserve"> og </w:t>
      </w:r>
      <w:proofErr w:type="spellStart"/>
      <w:r>
        <w:t>xaksemax</w:t>
      </w:r>
      <w:proofErr w:type="spellEnd"/>
      <w:r>
        <w:t xml:space="preserve"> er globale variable som har fået en passende værdi, inden </w:t>
      </w:r>
      <w:r w:rsidR="005375C1">
        <w:t xml:space="preserve">ovenstående </w:t>
      </w:r>
      <w:r>
        <w:t xml:space="preserve">koden køres. </w:t>
      </w:r>
      <w:r w:rsidR="00A51D92">
        <w:t>Desuden skal pen ”</w:t>
      </w:r>
      <w:proofErr w:type="spellStart"/>
      <w:r w:rsidR="00A51D92">
        <w:t>xakse</w:t>
      </w:r>
      <w:proofErr w:type="spellEnd"/>
      <w:r w:rsidR="00A51D92">
        <w:t xml:space="preserve">” være oprettet i plottet, det gøres på Interface </w:t>
      </w:r>
      <w:bookmarkStart w:id="0" w:name="_GoBack"/>
      <w:bookmarkEnd w:id="0"/>
      <w:r w:rsidR="00A51D92">
        <w:t xml:space="preserve">siden. </w:t>
      </w:r>
    </w:p>
    <w:p w:rsidR="007F0F89" w:rsidRPr="007F0F89" w:rsidRDefault="007F0F89" w:rsidP="007F0F89"/>
    <w:p w:rsidR="00735B3C" w:rsidRPr="00B50818" w:rsidRDefault="00735B3C" w:rsidP="0047167F"/>
    <w:sectPr w:rsidR="00735B3C" w:rsidRPr="00B50818" w:rsidSect="00031FE2">
      <w:headerReference w:type="default" r:id="rId15"/>
      <w:footerReference w:type="defaul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8C7" w:rsidRDefault="008748C7" w:rsidP="007558D7">
      <w:pPr>
        <w:spacing w:after="0" w:line="240" w:lineRule="auto"/>
      </w:pPr>
      <w:r>
        <w:separator/>
      </w:r>
    </w:p>
  </w:endnote>
  <w:endnote w:type="continuationSeparator" w:id="0">
    <w:p w:rsidR="008748C7" w:rsidRDefault="008748C7" w:rsidP="00755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1EB" w:rsidRDefault="007D31EB">
    <w:pPr>
      <w:pStyle w:val="Sidefod"/>
      <w:jc w:val="center"/>
      <w:rPr>
        <w:color w:val="5B9BD5" w:themeColor="accent1"/>
      </w:rPr>
    </w:pPr>
  </w:p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7D31EB" w:rsidTr="007D31EB">
      <w:tc>
        <w:tcPr>
          <w:tcW w:w="4814" w:type="dxa"/>
        </w:tcPr>
        <w:p w:rsidR="007D31EB" w:rsidRDefault="007D31EB" w:rsidP="007D31EB">
          <w:pPr>
            <w:pStyle w:val="Sidefod"/>
          </w:pPr>
        </w:p>
      </w:tc>
      <w:tc>
        <w:tcPr>
          <w:tcW w:w="4814" w:type="dxa"/>
        </w:tcPr>
        <w:p w:rsidR="007D31EB" w:rsidRDefault="007D31EB" w:rsidP="007D31EB">
          <w:pPr>
            <w:pStyle w:val="Sidefod"/>
            <w:jc w:val="right"/>
          </w:pPr>
          <w:r>
            <w:rPr>
              <w:color w:val="5B9BD5" w:themeColor="accent1"/>
            </w:rPr>
            <w:t xml:space="preserve">Side </w:t>
          </w:r>
          <w:r>
            <w:rPr>
              <w:color w:val="5B9BD5" w:themeColor="accent1"/>
            </w:rPr>
            <w:fldChar w:fldCharType="begin"/>
          </w:r>
          <w:r>
            <w:rPr>
              <w:color w:val="5B9BD5" w:themeColor="accent1"/>
            </w:rPr>
            <w:instrText>PAGE  \* Arabic  \* MERGEFORMAT</w:instrText>
          </w:r>
          <w:r>
            <w:rPr>
              <w:color w:val="5B9BD5" w:themeColor="accent1"/>
            </w:rPr>
            <w:fldChar w:fldCharType="separate"/>
          </w:r>
          <w:r w:rsidR="008A49CD">
            <w:rPr>
              <w:noProof/>
              <w:color w:val="5B9BD5" w:themeColor="accent1"/>
            </w:rPr>
            <w:t>5</w:t>
          </w:r>
          <w:r>
            <w:rPr>
              <w:color w:val="5B9BD5" w:themeColor="accent1"/>
            </w:rPr>
            <w:fldChar w:fldCharType="end"/>
          </w:r>
          <w:r>
            <w:rPr>
              <w:color w:val="5B9BD5" w:themeColor="accent1"/>
            </w:rPr>
            <w:t xml:space="preserve"> af </w:t>
          </w:r>
          <w:r>
            <w:rPr>
              <w:color w:val="5B9BD5" w:themeColor="accent1"/>
            </w:rPr>
            <w:fldChar w:fldCharType="begin"/>
          </w:r>
          <w:r>
            <w:rPr>
              <w:color w:val="5B9BD5" w:themeColor="accent1"/>
            </w:rPr>
            <w:instrText>NUMPAGES \ * arabisk \ * MERGEFORMAT</w:instrText>
          </w:r>
          <w:r>
            <w:rPr>
              <w:color w:val="5B9BD5" w:themeColor="accent1"/>
            </w:rPr>
            <w:fldChar w:fldCharType="separate"/>
          </w:r>
          <w:r w:rsidR="008A49CD">
            <w:rPr>
              <w:noProof/>
              <w:color w:val="5B9BD5" w:themeColor="accent1"/>
            </w:rPr>
            <w:t>5</w:t>
          </w:r>
          <w:r>
            <w:rPr>
              <w:color w:val="5B9BD5" w:themeColor="accent1"/>
            </w:rPr>
            <w:fldChar w:fldCharType="end"/>
          </w:r>
        </w:p>
      </w:tc>
    </w:tr>
  </w:tbl>
  <w:p w:rsidR="007558D7" w:rsidRDefault="007558D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8C7" w:rsidRDefault="008748C7" w:rsidP="007558D7">
      <w:pPr>
        <w:spacing w:after="0" w:line="240" w:lineRule="auto"/>
      </w:pPr>
      <w:r>
        <w:separator/>
      </w:r>
    </w:p>
  </w:footnote>
  <w:footnote w:type="continuationSeparator" w:id="0">
    <w:p w:rsidR="008748C7" w:rsidRDefault="008748C7" w:rsidP="00755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8D7" w:rsidRDefault="007558D7">
    <w:pPr>
      <w:pStyle w:val="Sidehoved"/>
    </w:pPr>
  </w:p>
  <w:p w:rsidR="007558D7" w:rsidRDefault="007558D7" w:rsidP="00E32DE2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01C"/>
    <w:rsid w:val="00031FE2"/>
    <w:rsid w:val="00082D4E"/>
    <w:rsid w:val="000A6CE8"/>
    <w:rsid w:val="000B2020"/>
    <w:rsid w:val="000C35C3"/>
    <w:rsid w:val="000E69F1"/>
    <w:rsid w:val="00103AA5"/>
    <w:rsid w:val="00127C4A"/>
    <w:rsid w:val="001534CA"/>
    <w:rsid w:val="00184B25"/>
    <w:rsid w:val="001E1286"/>
    <w:rsid w:val="001E1FAB"/>
    <w:rsid w:val="002B2AD9"/>
    <w:rsid w:val="002C3B34"/>
    <w:rsid w:val="002D0C4E"/>
    <w:rsid w:val="0035008C"/>
    <w:rsid w:val="003C090E"/>
    <w:rsid w:val="003D301C"/>
    <w:rsid w:val="003D5A93"/>
    <w:rsid w:val="00406D1A"/>
    <w:rsid w:val="0042573A"/>
    <w:rsid w:val="00441EC3"/>
    <w:rsid w:val="0047167F"/>
    <w:rsid w:val="005375C1"/>
    <w:rsid w:val="005F6EED"/>
    <w:rsid w:val="006654E4"/>
    <w:rsid w:val="00671607"/>
    <w:rsid w:val="006D73DA"/>
    <w:rsid w:val="00715A1F"/>
    <w:rsid w:val="00726AB2"/>
    <w:rsid w:val="00735B3C"/>
    <w:rsid w:val="007558D7"/>
    <w:rsid w:val="00772373"/>
    <w:rsid w:val="007A2B0F"/>
    <w:rsid w:val="007D2C7F"/>
    <w:rsid w:val="007D31EB"/>
    <w:rsid w:val="007F0C6C"/>
    <w:rsid w:val="007F0F89"/>
    <w:rsid w:val="00817B1E"/>
    <w:rsid w:val="008258BD"/>
    <w:rsid w:val="00863131"/>
    <w:rsid w:val="008748C7"/>
    <w:rsid w:val="00890C9D"/>
    <w:rsid w:val="008A49CD"/>
    <w:rsid w:val="008A6BEF"/>
    <w:rsid w:val="008C5684"/>
    <w:rsid w:val="008F5F88"/>
    <w:rsid w:val="00926172"/>
    <w:rsid w:val="009263B1"/>
    <w:rsid w:val="009C6EC5"/>
    <w:rsid w:val="00A01D9C"/>
    <w:rsid w:val="00A05B73"/>
    <w:rsid w:val="00A12D6E"/>
    <w:rsid w:val="00A51D92"/>
    <w:rsid w:val="00A86153"/>
    <w:rsid w:val="00AB2EF9"/>
    <w:rsid w:val="00AE302A"/>
    <w:rsid w:val="00B50818"/>
    <w:rsid w:val="00B63BAB"/>
    <w:rsid w:val="00B969B5"/>
    <w:rsid w:val="00C000C1"/>
    <w:rsid w:val="00C448D3"/>
    <w:rsid w:val="00C454C7"/>
    <w:rsid w:val="00D071FE"/>
    <w:rsid w:val="00D43FD4"/>
    <w:rsid w:val="00D50D4A"/>
    <w:rsid w:val="00D53E3F"/>
    <w:rsid w:val="00D7157F"/>
    <w:rsid w:val="00DB5D03"/>
    <w:rsid w:val="00E32DE2"/>
    <w:rsid w:val="00EE2CC6"/>
    <w:rsid w:val="00EE2F2B"/>
    <w:rsid w:val="00F12715"/>
    <w:rsid w:val="00F238A5"/>
    <w:rsid w:val="00F2683E"/>
    <w:rsid w:val="00F66003"/>
    <w:rsid w:val="00FB4EE6"/>
    <w:rsid w:val="00FF713F"/>
    <w:rsid w:val="00F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9850C"/>
  <w15:chartTrackingRefBased/>
  <w15:docId w15:val="{388A881C-6BB0-4C6E-A4E6-B6F59E06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da-DK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D4E"/>
    <w:rPr>
      <w:sz w:val="24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8A6BEF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olor w:val="FFFFFF" w:themeColor="background1"/>
      <w:spacing w:val="15"/>
      <w:sz w:val="22"/>
      <w:szCs w:val="2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A6BEF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spacing w:val="15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47167F"/>
    <w:pPr>
      <w:pBdr>
        <w:top w:val="single" w:sz="6" w:space="2" w:color="5B9BD5" w:themeColor="accent1"/>
      </w:pBdr>
      <w:spacing w:before="300" w:after="0"/>
      <w:outlineLvl w:val="2"/>
    </w:pPr>
    <w:rPr>
      <w:color w:val="1F4D78" w:themeColor="accent1" w:themeShade="7F"/>
      <w:spacing w:val="15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448D3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448D3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448D3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448D3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448D3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448D3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558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558D7"/>
  </w:style>
  <w:style w:type="paragraph" w:styleId="Sidefod">
    <w:name w:val="footer"/>
    <w:basedOn w:val="Normal"/>
    <w:link w:val="SidefodTegn"/>
    <w:uiPriority w:val="99"/>
    <w:unhideWhenUsed/>
    <w:rsid w:val="007558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558D7"/>
  </w:style>
  <w:style w:type="table" w:styleId="Tabel-Gitter">
    <w:name w:val="Table Grid"/>
    <w:basedOn w:val="Tabel-Normal"/>
    <w:uiPriority w:val="39"/>
    <w:rsid w:val="0075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1Tegn">
    <w:name w:val="Overskrift 1 Tegn"/>
    <w:basedOn w:val="Standardskrifttypeiafsnit"/>
    <w:link w:val="Overskrift1"/>
    <w:uiPriority w:val="9"/>
    <w:rsid w:val="008A6BEF"/>
    <w:rPr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A6BEF"/>
    <w:rPr>
      <w:spacing w:val="15"/>
      <w:sz w:val="24"/>
      <w:shd w:val="clear" w:color="auto" w:fill="DEEAF6" w:themeFill="accent1" w:themeFillTint="33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47167F"/>
    <w:rPr>
      <w:color w:val="1F4D78" w:themeColor="accent1" w:themeShade="7F"/>
      <w:spacing w:val="15"/>
      <w:sz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448D3"/>
    <w:rPr>
      <w:caps/>
      <w:color w:val="2E74B5" w:themeColor="accent1" w:themeShade="BF"/>
      <w:spacing w:val="10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448D3"/>
    <w:rPr>
      <w:caps/>
      <w:color w:val="2E74B5" w:themeColor="accent1" w:themeShade="BF"/>
      <w:spacing w:val="10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448D3"/>
    <w:rPr>
      <w:caps/>
      <w:color w:val="2E74B5" w:themeColor="accent1" w:themeShade="BF"/>
      <w:spacing w:val="10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448D3"/>
    <w:rPr>
      <w:caps/>
      <w:color w:val="2E74B5" w:themeColor="accent1" w:themeShade="BF"/>
      <w:spacing w:val="10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448D3"/>
    <w:rPr>
      <w:caps/>
      <w:spacing w:val="10"/>
      <w:sz w:val="18"/>
      <w:szCs w:val="1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448D3"/>
    <w:rPr>
      <w:i/>
      <w:iCs/>
      <w:caps/>
      <w:spacing w:val="10"/>
      <w:sz w:val="18"/>
      <w:szCs w:val="18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C448D3"/>
    <w:rPr>
      <w:b/>
      <w:bCs/>
      <w:color w:val="2E74B5" w:themeColor="accent1" w:themeShade="BF"/>
      <w:sz w:val="16"/>
      <w:szCs w:val="16"/>
    </w:rPr>
  </w:style>
  <w:style w:type="paragraph" w:styleId="Titel">
    <w:name w:val="Title"/>
    <w:basedOn w:val="Normal"/>
    <w:next w:val="Normal"/>
    <w:link w:val="TitelTegn"/>
    <w:uiPriority w:val="10"/>
    <w:qFormat/>
    <w:rsid w:val="00C448D3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C448D3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C448D3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C448D3"/>
    <w:rPr>
      <w:caps/>
      <w:color w:val="595959" w:themeColor="text1" w:themeTint="A6"/>
      <w:spacing w:val="10"/>
      <w:sz w:val="21"/>
      <w:szCs w:val="21"/>
    </w:rPr>
  </w:style>
  <w:style w:type="character" w:styleId="Strk">
    <w:name w:val="Strong"/>
    <w:uiPriority w:val="22"/>
    <w:qFormat/>
    <w:rsid w:val="00C448D3"/>
    <w:rPr>
      <w:b/>
      <w:bCs/>
    </w:rPr>
  </w:style>
  <w:style w:type="character" w:styleId="Fremhv">
    <w:name w:val="Emphasis"/>
    <w:uiPriority w:val="20"/>
    <w:qFormat/>
    <w:rsid w:val="00C448D3"/>
    <w:rPr>
      <w:caps/>
      <w:color w:val="1F4D78" w:themeColor="accent1" w:themeShade="7F"/>
      <w:spacing w:val="5"/>
    </w:rPr>
  </w:style>
  <w:style w:type="paragraph" w:styleId="Ingenafstand">
    <w:name w:val="No Spacing"/>
    <w:uiPriority w:val="1"/>
    <w:qFormat/>
    <w:rsid w:val="00C448D3"/>
    <w:pPr>
      <w:spacing w:after="0" w:line="240" w:lineRule="auto"/>
    </w:pPr>
  </w:style>
  <w:style w:type="paragraph" w:styleId="Citat">
    <w:name w:val="Quote"/>
    <w:basedOn w:val="Normal"/>
    <w:next w:val="Normal"/>
    <w:link w:val="CitatTegn"/>
    <w:uiPriority w:val="29"/>
    <w:qFormat/>
    <w:rsid w:val="00C448D3"/>
    <w:rPr>
      <w:i/>
      <w:iCs/>
      <w:szCs w:val="24"/>
    </w:rPr>
  </w:style>
  <w:style w:type="character" w:customStyle="1" w:styleId="CitatTegn">
    <w:name w:val="Citat Tegn"/>
    <w:basedOn w:val="Standardskrifttypeiafsnit"/>
    <w:link w:val="Citat"/>
    <w:uiPriority w:val="29"/>
    <w:rsid w:val="00C448D3"/>
    <w:rPr>
      <w:i/>
      <w:iCs/>
      <w:sz w:val="24"/>
      <w:szCs w:val="24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C448D3"/>
    <w:pPr>
      <w:spacing w:before="240" w:after="240" w:line="240" w:lineRule="auto"/>
      <w:ind w:left="1080" w:right="1080"/>
      <w:jc w:val="center"/>
    </w:pPr>
    <w:rPr>
      <w:color w:val="5B9BD5" w:themeColor="accent1"/>
      <w:szCs w:val="24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C448D3"/>
    <w:rPr>
      <w:color w:val="5B9BD5" w:themeColor="accent1"/>
      <w:sz w:val="24"/>
      <w:szCs w:val="24"/>
    </w:rPr>
  </w:style>
  <w:style w:type="character" w:styleId="Svagfremhvning">
    <w:name w:val="Subtle Emphasis"/>
    <w:uiPriority w:val="19"/>
    <w:qFormat/>
    <w:rsid w:val="00C448D3"/>
    <w:rPr>
      <w:i/>
      <w:iCs/>
      <w:color w:val="1F4D78" w:themeColor="accent1" w:themeShade="7F"/>
    </w:rPr>
  </w:style>
  <w:style w:type="character" w:styleId="Kraftigfremhvning">
    <w:name w:val="Intense Emphasis"/>
    <w:uiPriority w:val="21"/>
    <w:qFormat/>
    <w:rsid w:val="00C448D3"/>
    <w:rPr>
      <w:b/>
      <w:bCs/>
      <w:caps/>
      <w:color w:val="1F4D78" w:themeColor="accent1" w:themeShade="7F"/>
      <w:spacing w:val="10"/>
    </w:rPr>
  </w:style>
  <w:style w:type="character" w:styleId="Svaghenvisning">
    <w:name w:val="Subtle Reference"/>
    <w:uiPriority w:val="31"/>
    <w:qFormat/>
    <w:rsid w:val="00C448D3"/>
    <w:rPr>
      <w:b/>
      <w:bCs/>
      <w:color w:val="5B9BD5" w:themeColor="accent1"/>
    </w:rPr>
  </w:style>
  <w:style w:type="character" w:styleId="Kraftighenvisning">
    <w:name w:val="Intense Reference"/>
    <w:uiPriority w:val="32"/>
    <w:qFormat/>
    <w:rsid w:val="00C448D3"/>
    <w:rPr>
      <w:b/>
      <w:bCs/>
      <w:i/>
      <w:iCs/>
      <w:caps/>
      <w:color w:val="5B9BD5" w:themeColor="accent1"/>
    </w:rPr>
  </w:style>
  <w:style w:type="character" w:styleId="Bogenstitel">
    <w:name w:val="Book Title"/>
    <w:uiPriority w:val="33"/>
    <w:qFormat/>
    <w:rsid w:val="00C448D3"/>
    <w:rPr>
      <w:b/>
      <w:bCs/>
      <w:i/>
      <w:iCs/>
      <w:spacing w:val="0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C448D3"/>
    <w:pPr>
      <w:outlineLvl w:val="9"/>
    </w:pPr>
  </w:style>
  <w:style w:type="character" w:styleId="Pladsholdertekst">
    <w:name w:val="Placeholder Text"/>
    <w:basedOn w:val="Standardskrifttypeiafsnit"/>
    <w:uiPriority w:val="99"/>
    <w:semiHidden/>
    <w:rsid w:val="00772373"/>
    <w:rPr>
      <w:color w:val="808080"/>
    </w:rPr>
  </w:style>
  <w:style w:type="character" w:styleId="Hyperlink">
    <w:name w:val="Hyperlink"/>
    <w:basedOn w:val="Standardskrifttypeiafsnit"/>
    <w:uiPriority w:val="99"/>
    <w:unhideWhenUsed/>
    <w:rsid w:val="007F0C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yperlink" Target="https://ccl.northwestern.edu/netlogo/index.shtml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4BCA7D0771A4468E1141BB5246A8F9" ma:contentTypeVersion="8" ma:contentTypeDescription="Opret et nyt dokument." ma:contentTypeScope="" ma:versionID="2b590fba7d07708eceefc7a1fe59607b">
  <xsd:schema xmlns:xsd="http://www.w3.org/2001/XMLSchema" xmlns:xs="http://www.w3.org/2001/XMLSchema" xmlns:p="http://schemas.microsoft.com/office/2006/metadata/properties" xmlns:ns2="7bdffee5-bcf1-46b9-9ce4-ddc36c237426" targetNamespace="http://schemas.microsoft.com/office/2006/metadata/properties" ma:root="true" ma:fieldsID="c0d21f683bee1630af4b3086cae728ee" ns2:_="">
    <xsd:import namespace="7bdffee5-bcf1-46b9-9ce4-ddc36c2374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fee5-bcf1-46b9-9ce4-ddc36c2374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BF1A55-45CE-4A6C-A92C-6983AB417838}"/>
</file>

<file path=customXml/itemProps2.xml><?xml version="1.0" encoding="utf-8"?>
<ds:datastoreItem xmlns:ds="http://schemas.openxmlformats.org/officeDocument/2006/customXml" ds:itemID="{94B71CC2-658E-4C7E-AA23-9C87A6724438}"/>
</file>

<file path=customXml/itemProps3.xml><?xml version="1.0" encoding="utf-8"?>
<ds:datastoreItem xmlns:ds="http://schemas.openxmlformats.org/officeDocument/2006/customXml" ds:itemID="{D353D939-3E0F-48BC-94AA-34ECAC78FC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317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Bohl Jenner</dc:creator>
  <cp:keywords/>
  <dc:description/>
  <cp:lastModifiedBy>Michael Bohl Jenner</cp:lastModifiedBy>
  <cp:revision>61</cp:revision>
  <cp:lastPrinted>2022-10-14T05:56:00Z</cp:lastPrinted>
  <dcterms:created xsi:type="dcterms:W3CDTF">2014-11-16T15:34:00Z</dcterms:created>
  <dcterms:modified xsi:type="dcterms:W3CDTF">2022-10-14T05:57:00Z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0x0101002E4BCA7D0771A4468E1141BB5246A8F9</vt:lpwstr>
  </property>
</Properties>
</file>